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9"/>
        <w:rPr>
          <w:rFonts w:ascii="Times New Roman"/>
          <w:sz w:val="20"/>
        </w:rPr>
      </w:pPr>
    </w:p>
    <w:p>
      <w:pPr>
        <w:spacing w:line="240" w:lineRule="auto"/>
        <w:ind w:left="5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20048" cy="1676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04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40"/>
        <w:rPr>
          <w:rFonts w:ascii="Times New Roman"/>
          <w:sz w:val="40"/>
        </w:rPr>
      </w:pPr>
    </w:p>
    <w:p>
      <w:pPr>
        <w:spacing w:before="1"/>
        <w:ind w:left="3" w:right="3" w:firstLine="0"/>
        <w:jc w:val="center"/>
        <w:rPr>
          <w:sz w:val="40"/>
        </w:rPr>
      </w:pPr>
      <w:r>
        <w:rPr>
          <w:color w:val="005283"/>
          <w:spacing w:val="-2"/>
          <w:sz w:val="40"/>
        </w:rPr>
        <w:t>INFORME</w:t>
      </w:r>
    </w:p>
    <w:p>
      <w:pPr>
        <w:spacing w:before="0"/>
        <w:ind w:left="2780" w:right="2775" w:hanging="1"/>
        <w:jc w:val="center"/>
        <w:rPr>
          <w:sz w:val="40"/>
        </w:rPr>
      </w:pPr>
      <w:r>
        <w:rPr>
          <w:color w:val="005283"/>
          <w:sz w:val="40"/>
        </w:rPr>
        <w:t>DE PERTENENCIA </w:t>
      </w:r>
      <w:r>
        <w:rPr>
          <w:color w:val="005283"/>
          <w:spacing w:val="-2"/>
          <w:sz w:val="40"/>
        </w:rPr>
        <w:t>SOCIOLINGÜÍSTICA</w:t>
      </w:r>
    </w:p>
    <w:p>
      <w:pPr>
        <w:pStyle w:val="BodyText"/>
        <w:rPr>
          <w:sz w:val="40"/>
        </w:rPr>
      </w:pPr>
    </w:p>
    <w:p>
      <w:pPr>
        <w:spacing w:before="1"/>
        <w:ind w:left="3" w:right="1" w:firstLine="0"/>
        <w:jc w:val="center"/>
        <w:rPr>
          <w:sz w:val="40"/>
        </w:rPr>
      </w:pPr>
      <w:r>
        <w:rPr>
          <w:color w:val="005283"/>
          <w:sz w:val="40"/>
        </w:rPr>
        <w:t>FEBRERO</w:t>
      </w:r>
      <w:r>
        <w:rPr>
          <w:color w:val="005283"/>
          <w:spacing w:val="-4"/>
          <w:sz w:val="40"/>
        </w:rPr>
        <w:t> 2026</w:t>
      </w:r>
    </w:p>
    <w:p>
      <w:pPr>
        <w:spacing w:after="0"/>
        <w:jc w:val="center"/>
        <w:rPr>
          <w:sz w:val="40"/>
        </w:rPr>
        <w:sectPr>
          <w:headerReference w:type="default" r:id="rId5"/>
          <w:type w:val="continuous"/>
          <w:pgSz w:w="12240" w:h="15840"/>
          <w:pgMar w:header="269" w:footer="0" w:top="1880" w:bottom="280" w:left="1440" w:right="1440"/>
          <w:pgNumType w:start="1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3"/>
        <w:rPr>
          <w:sz w:val="32"/>
        </w:rPr>
      </w:pPr>
    </w:p>
    <w:p>
      <w:pPr>
        <w:pStyle w:val="Heading1"/>
      </w:pPr>
      <w:r>
        <w:rPr>
          <w:color w:val="EC7C30"/>
          <w:spacing w:val="-2"/>
        </w:rPr>
        <w:t>ÍNDICE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17"/>
        <w:rPr>
          <w:b/>
          <w:sz w:val="32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0" w:after="0"/>
            <w:ind w:left="980" w:right="0" w:hanging="359"/>
            <w:jc w:val="left"/>
          </w:pPr>
          <w:hyperlink w:history="true" w:anchor="_TOC_250002">
            <w:r>
              <w:rPr>
                <w:color w:val="1F4E79"/>
                <w:spacing w:val="-2"/>
              </w:rPr>
              <w:t>Presentación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hyperlink w:history="true" w:anchor="_TOC_250001">
            <w:r>
              <w:rPr>
                <w:color w:val="1F4E79"/>
              </w:rPr>
              <w:t>Disposiciones</w:t>
            </w:r>
            <w:r>
              <w:rPr>
                <w:color w:val="1F4E79"/>
                <w:spacing w:val="-7"/>
              </w:rPr>
              <w:t> </w:t>
            </w:r>
            <w:r>
              <w:rPr>
                <w:color w:val="1F4E79"/>
                <w:spacing w:val="-2"/>
              </w:rPr>
              <w:t>Generales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hyperlink w:history="true" w:anchor="_TOC_250000">
            <w:r>
              <w:rPr>
                <w:color w:val="1F4E79"/>
                <w:spacing w:val="-2"/>
              </w:rPr>
              <w:t>Objetivos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Informe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de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atención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al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2"/>
            </w:rPr>
            <w:t>público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#1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#2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3</w:t>
          </w:r>
        </w:p>
      </w:sdtContent>
    </w:sdt>
    <w:p>
      <w:pPr>
        <w:pStyle w:val="TOC1"/>
        <w:spacing w:after="0" w:line="240" w:lineRule="auto"/>
        <w:jc w:val="left"/>
        <w:sectPr>
          <w:pgSz w:w="12240" w:h="15840"/>
          <w:pgMar w:header="269" w:footer="0" w:top="1880" w:bottom="280" w:left="1440" w:right="1440"/>
        </w:sectPr>
      </w:pP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211" w:after="0"/>
        <w:ind w:left="1339" w:right="0" w:hanging="358"/>
        <w:jc w:val="left"/>
      </w:pPr>
      <w:bookmarkStart w:name="_TOC_250002" w:id="1"/>
      <w:bookmarkEnd w:id="1"/>
      <w:r>
        <w:rPr>
          <w:color w:val="F4AF83"/>
          <w:spacing w:val="-2"/>
        </w:rPr>
        <w:t>Presentación</w:t>
      </w:r>
    </w:p>
    <w:p>
      <w:pPr>
        <w:pStyle w:val="BodyText"/>
        <w:spacing w:before="186"/>
        <w:ind w:left="1342" w:right="258"/>
        <w:jc w:val="both"/>
      </w:pPr>
      <w:r>
        <w:rPr>
          <w:color w:val="005283"/>
        </w:rPr>
        <w:t>La Secretaría Privada de la Presidencia, es el órgano administrativo de apoyo</w:t>
      </w:r>
      <w:r>
        <w:rPr>
          <w:color w:val="005283"/>
          <w:spacing w:val="-7"/>
        </w:rPr>
        <w:t> </w:t>
      </w:r>
      <w:r>
        <w:rPr>
          <w:color w:val="005283"/>
        </w:rPr>
        <w:t>al</w:t>
      </w:r>
      <w:r>
        <w:rPr>
          <w:color w:val="005283"/>
          <w:spacing w:val="-8"/>
        </w:rPr>
        <w:t> </w:t>
      </w:r>
      <w:r>
        <w:rPr>
          <w:color w:val="005283"/>
        </w:rPr>
        <w:t>Presidente</w:t>
      </w:r>
      <w:r>
        <w:rPr>
          <w:color w:val="005283"/>
          <w:spacing w:val="-7"/>
        </w:rPr>
        <w:t> </w:t>
      </w:r>
      <w:r>
        <w:rPr>
          <w:color w:val="005283"/>
        </w:rPr>
        <w:t>de</w:t>
      </w:r>
      <w:r>
        <w:rPr>
          <w:color w:val="005283"/>
          <w:spacing w:val="-9"/>
        </w:rPr>
        <w:t> </w:t>
      </w:r>
      <w:r>
        <w:rPr>
          <w:color w:val="005283"/>
        </w:rPr>
        <w:t>la</w:t>
      </w:r>
      <w:r>
        <w:rPr>
          <w:color w:val="005283"/>
          <w:spacing w:val="-7"/>
        </w:rPr>
        <w:t> </w:t>
      </w:r>
      <w:r>
        <w:rPr>
          <w:color w:val="005283"/>
        </w:rPr>
        <w:t>República,</w:t>
      </w:r>
      <w:r>
        <w:rPr>
          <w:color w:val="005283"/>
          <w:spacing w:val="-7"/>
        </w:rPr>
        <w:t> </w:t>
      </w:r>
      <w:r>
        <w:rPr>
          <w:color w:val="005283"/>
        </w:rPr>
        <w:t>en</w:t>
      </w:r>
      <w:r>
        <w:rPr>
          <w:color w:val="005283"/>
          <w:spacing w:val="-7"/>
        </w:rPr>
        <w:t> </w:t>
      </w:r>
      <w:r>
        <w:rPr>
          <w:color w:val="005283"/>
        </w:rPr>
        <w:t>los</w:t>
      </w:r>
      <w:r>
        <w:rPr>
          <w:color w:val="005283"/>
          <w:spacing w:val="-10"/>
        </w:rPr>
        <w:t> </w:t>
      </w:r>
      <w:r>
        <w:rPr>
          <w:color w:val="005283"/>
        </w:rPr>
        <w:t>asuntos</w:t>
      </w:r>
      <w:r>
        <w:rPr>
          <w:color w:val="005283"/>
          <w:spacing w:val="-10"/>
        </w:rPr>
        <w:t> </w:t>
      </w:r>
      <w:r>
        <w:rPr>
          <w:color w:val="005283"/>
        </w:rPr>
        <w:t>que</w:t>
      </w:r>
      <w:r>
        <w:rPr>
          <w:color w:val="005283"/>
          <w:spacing w:val="-7"/>
        </w:rPr>
        <w:t> </w:t>
      </w:r>
      <w:r>
        <w:rPr>
          <w:color w:val="005283"/>
        </w:rPr>
        <w:t>se</w:t>
      </w:r>
      <w:r>
        <w:rPr>
          <w:color w:val="005283"/>
          <w:spacing w:val="-7"/>
        </w:rPr>
        <w:t> </w:t>
      </w:r>
      <w:r>
        <w:rPr>
          <w:color w:val="005283"/>
        </w:rPr>
        <w:t>sometan</w:t>
      </w:r>
      <w:r>
        <w:rPr>
          <w:color w:val="005283"/>
          <w:spacing w:val="-7"/>
        </w:rPr>
        <w:t> </w:t>
      </w:r>
      <w:r>
        <w:rPr>
          <w:color w:val="005283"/>
        </w:rPr>
        <w:t>a</w:t>
      </w:r>
      <w:r>
        <w:rPr>
          <w:color w:val="005283"/>
          <w:spacing w:val="-7"/>
        </w:rPr>
        <w:t> </w:t>
      </w:r>
      <w:r>
        <w:rPr>
          <w:color w:val="005283"/>
        </w:rPr>
        <w:t>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3" w:after="0"/>
        <w:ind w:left="1339" w:right="0" w:hanging="358"/>
        <w:jc w:val="left"/>
      </w:pPr>
      <w:bookmarkStart w:name="_TOC_250001" w:id="2"/>
      <w:r>
        <w:rPr>
          <w:color w:val="F4AF83"/>
        </w:rPr>
        <w:t>Disposiciones</w:t>
      </w:r>
      <w:r>
        <w:rPr>
          <w:color w:val="F4AF83"/>
          <w:spacing w:val="-15"/>
        </w:rPr>
        <w:t> </w:t>
      </w:r>
      <w:bookmarkEnd w:id="2"/>
      <w:r>
        <w:rPr>
          <w:color w:val="F4AF83"/>
          <w:spacing w:val="-2"/>
        </w:rPr>
        <w:t>generales</w:t>
      </w:r>
    </w:p>
    <w:p>
      <w:pPr>
        <w:pStyle w:val="BodyText"/>
        <w:spacing w:before="184"/>
        <w:ind w:left="1342" w:right="254"/>
        <w:jc w:val="both"/>
      </w:pPr>
      <w:r>
        <w:rPr>
          <w:color w:val="1F4E79"/>
        </w:rPr>
        <w:t>De conformidad con el artículo 10 del Decreto Número 19-2003 del Congreso de la República de Guatemala, Ley de Idiomas Nacionales, establece que las entidades e instituciones del Estado, deberán llevar registros,</w:t>
      </w:r>
      <w:r>
        <w:rPr>
          <w:color w:val="1F4E79"/>
          <w:spacing w:val="-5"/>
        </w:rPr>
        <w:t> </w:t>
      </w:r>
      <w:r>
        <w:rPr>
          <w:color w:val="1F4E79"/>
        </w:rPr>
        <w:t>actualizar</w:t>
      </w:r>
      <w:r>
        <w:rPr>
          <w:color w:val="1F4E79"/>
          <w:spacing w:val="-3"/>
        </w:rPr>
        <w:t> </w:t>
      </w:r>
      <w:r>
        <w:rPr>
          <w:color w:val="1F4E79"/>
        </w:rPr>
        <w:t>y</w:t>
      </w:r>
      <w:r>
        <w:rPr>
          <w:color w:val="1F4E79"/>
          <w:spacing w:val="-3"/>
        </w:rPr>
        <w:t> </w:t>
      </w:r>
      <w:r>
        <w:rPr>
          <w:color w:val="1F4E79"/>
        </w:rPr>
        <w:t>reportar</w:t>
      </w:r>
      <w:r>
        <w:rPr>
          <w:color w:val="1F4E79"/>
          <w:spacing w:val="-7"/>
        </w:rPr>
        <w:t> </w:t>
      </w:r>
      <w:r>
        <w:rPr>
          <w:color w:val="1F4E79"/>
        </w:rPr>
        <w:t>datos</w:t>
      </w:r>
      <w:r>
        <w:rPr>
          <w:color w:val="1F4E79"/>
          <w:spacing w:val="-6"/>
        </w:rPr>
        <w:t> </w:t>
      </w:r>
      <w:r>
        <w:rPr>
          <w:color w:val="1F4E79"/>
        </w:rPr>
        <w:t>sobre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7"/>
        </w:rPr>
        <w:t> </w:t>
      </w:r>
      <w:r>
        <w:rPr>
          <w:color w:val="1F4E79"/>
        </w:rPr>
        <w:t>pertenencia</w:t>
      </w:r>
      <w:r>
        <w:rPr>
          <w:color w:val="1F4E79"/>
          <w:spacing w:val="-5"/>
        </w:rPr>
        <w:t> </w:t>
      </w:r>
      <w:r>
        <w:rPr>
          <w:color w:val="1F4E79"/>
        </w:rPr>
        <w:t>sociolingüística de</w:t>
      </w:r>
      <w:r>
        <w:rPr>
          <w:color w:val="1F4E79"/>
          <w:spacing w:val="-4"/>
        </w:rPr>
        <w:t> </w:t>
      </w:r>
      <w:r>
        <w:rPr>
          <w:color w:val="1F4E79"/>
        </w:rPr>
        <w:t>los</w:t>
      </w:r>
      <w:r>
        <w:rPr>
          <w:color w:val="1F4E79"/>
          <w:spacing w:val="-4"/>
        </w:rPr>
        <w:t> </w:t>
      </w:r>
      <w:r>
        <w:rPr>
          <w:color w:val="1F4E79"/>
        </w:rPr>
        <w:t>usuarios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sus</w:t>
      </w:r>
      <w:r>
        <w:rPr>
          <w:color w:val="1F4E79"/>
          <w:spacing w:val="-7"/>
        </w:rPr>
        <w:t> </w:t>
      </w:r>
      <w:r>
        <w:rPr>
          <w:color w:val="1F4E79"/>
        </w:rPr>
        <w:t>servicios,</w:t>
      </w:r>
      <w:r>
        <w:rPr>
          <w:color w:val="1F4E79"/>
          <w:spacing w:val="-4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efecto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adecuar</w:t>
      </w:r>
      <w:r>
        <w:rPr>
          <w:color w:val="1F4E79"/>
          <w:spacing w:val="-5"/>
        </w:rPr>
        <w:t> </w:t>
      </w:r>
      <w:r>
        <w:rPr>
          <w:color w:val="1F4E79"/>
        </w:rPr>
        <w:t>la</w:t>
      </w:r>
      <w:r>
        <w:rPr>
          <w:color w:val="1F4E79"/>
          <w:spacing w:val="-4"/>
        </w:rPr>
        <w:t> </w:t>
      </w:r>
      <w:r>
        <w:rPr>
          <w:color w:val="1F4E79"/>
        </w:rPr>
        <w:t>prestación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los mismos.</w:t>
      </w:r>
      <w:r>
        <w:rPr>
          <w:color w:val="1F4E79"/>
          <w:spacing w:val="-14"/>
        </w:rPr>
        <w:t> </w:t>
      </w:r>
      <w:r>
        <w:rPr>
          <w:color w:val="1F4E79"/>
        </w:rPr>
        <w:t>El</w:t>
      </w:r>
      <w:r>
        <w:rPr>
          <w:color w:val="1F4E79"/>
          <w:spacing w:val="-12"/>
        </w:rPr>
        <w:t> </w:t>
      </w:r>
      <w:r>
        <w:rPr>
          <w:color w:val="1F4E79"/>
        </w:rPr>
        <w:t>artículo</w:t>
      </w:r>
      <w:r>
        <w:rPr>
          <w:color w:val="1F4E79"/>
          <w:spacing w:val="-15"/>
        </w:rPr>
        <w:t> </w:t>
      </w:r>
      <w:r>
        <w:rPr>
          <w:color w:val="1F4E79"/>
        </w:rPr>
        <w:t>11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2"/>
        </w:rPr>
        <w:t> </w:t>
      </w:r>
      <w:r>
        <w:rPr>
          <w:color w:val="1F4E79"/>
        </w:rPr>
        <w:t>la</w:t>
      </w:r>
      <w:r>
        <w:rPr>
          <w:color w:val="1F4E79"/>
          <w:spacing w:val="-15"/>
        </w:rPr>
        <w:t> </w:t>
      </w:r>
      <w:r>
        <w:rPr>
          <w:color w:val="1F4E79"/>
        </w:rPr>
        <w:t>norma</w:t>
      </w:r>
      <w:r>
        <w:rPr>
          <w:color w:val="1F4E79"/>
          <w:spacing w:val="-14"/>
        </w:rPr>
        <w:t> </w:t>
      </w:r>
      <w:r>
        <w:rPr>
          <w:color w:val="1F4E79"/>
        </w:rPr>
        <w:t>referida</w:t>
      </w:r>
      <w:r>
        <w:rPr>
          <w:color w:val="1F4E79"/>
          <w:spacing w:val="-14"/>
        </w:rPr>
        <w:t> </w:t>
      </w:r>
      <w:r>
        <w:rPr>
          <w:color w:val="1F4E79"/>
        </w:rPr>
        <w:t>anteriormente,</w:t>
      </w:r>
      <w:r>
        <w:rPr>
          <w:color w:val="1F4E79"/>
          <w:spacing w:val="-11"/>
        </w:rPr>
        <w:t> </w:t>
      </w:r>
      <w:r>
        <w:rPr>
          <w:color w:val="1F4E79"/>
        </w:rPr>
        <w:t>señala</w:t>
      </w:r>
      <w:r>
        <w:rPr>
          <w:color w:val="1F4E79"/>
          <w:spacing w:val="-15"/>
        </w:rPr>
        <w:t> </w:t>
      </w:r>
      <w:r>
        <w:rPr>
          <w:color w:val="1F4E79"/>
        </w:rPr>
        <w:t>que,</w:t>
      </w:r>
      <w:r>
        <w:rPr>
          <w:color w:val="1F4E79"/>
          <w:spacing w:val="-12"/>
        </w:rPr>
        <w:t> </w:t>
      </w:r>
      <w:r>
        <w:rPr>
          <w:color w:val="1F4E79"/>
        </w:rPr>
        <w:t>las normas de escritura propias de cada idioma indígena Maya, Xinka y Garífuna, referentes a nombres propios y de lugares, deberán ser atendidas</w:t>
      </w:r>
      <w:r>
        <w:rPr>
          <w:color w:val="1F4E79"/>
          <w:spacing w:val="-8"/>
        </w:rPr>
        <w:t> </w:t>
      </w:r>
      <w:r>
        <w:rPr>
          <w:color w:val="1F4E79"/>
        </w:rPr>
        <w:t>y</w:t>
      </w:r>
      <w:r>
        <w:rPr>
          <w:color w:val="1F4E79"/>
          <w:spacing w:val="-10"/>
        </w:rPr>
        <w:t> </w:t>
      </w:r>
      <w:r>
        <w:rPr>
          <w:color w:val="1F4E79"/>
        </w:rPr>
        <w:t>respetadas</w:t>
      </w:r>
      <w:r>
        <w:rPr>
          <w:color w:val="1F4E79"/>
          <w:spacing w:val="-8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todos</w:t>
      </w:r>
      <w:r>
        <w:rPr>
          <w:color w:val="1F4E79"/>
          <w:spacing w:val="-10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actos</w:t>
      </w:r>
      <w:r>
        <w:rPr>
          <w:color w:val="1F4E79"/>
          <w:spacing w:val="-8"/>
        </w:rPr>
        <w:t> </w:t>
      </w:r>
      <w:r>
        <w:rPr>
          <w:color w:val="1F4E79"/>
        </w:rPr>
        <w:t>registrales</w:t>
      </w:r>
      <w:r>
        <w:rPr>
          <w:color w:val="1F4E79"/>
          <w:spacing w:val="-8"/>
        </w:rPr>
        <w:t> </w:t>
      </w:r>
      <w:r>
        <w:rPr>
          <w:color w:val="1F4E79"/>
        </w:rPr>
        <w:t>por</w:t>
      </w:r>
      <w:r>
        <w:rPr>
          <w:color w:val="1F4E79"/>
          <w:spacing w:val="-8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funcionarios de instituciones públicas y privadas, entidades autónomas o descentralizadas del Estado. La Academia de las Lenguas mayas de Guatemala deberá proporcionar información lingüística pertinente a este efecto. A su vez, el artículo 14 de la precitada norma, determina que el Estado velará porque en la prestación de bienes y servicios públicos, se observe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9"/>
        </w:rPr>
        <w:t> </w:t>
      </w:r>
      <w:r>
        <w:rPr>
          <w:color w:val="1F4E79"/>
        </w:rPr>
        <w:t>práctica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8"/>
        </w:rPr>
        <w:t> </w:t>
      </w:r>
      <w:r>
        <w:rPr>
          <w:color w:val="1F4E79"/>
        </w:rPr>
        <w:t>comunicación</w:t>
      </w:r>
      <w:r>
        <w:rPr>
          <w:color w:val="1F4E79"/>
          <w:spacing w:val="-6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el</w:t>
      </w:r>
      <w:r>
        <w:rPr>
          <w:color w:val="1F4E79"/>
          <w:spacing w:val="-7"/>
        </w:rPr>
        <w:t> </w:t>
      </w:r>
      <w:r>
        <w:rPr>
          <w:color w:val="1F4E79"/>
        </w:rPr>
        <w:t>idioma</w:t>
      </w:r>
      <w:r>
        <w:rPr>
          <w:color w:val="1F4E79"/>
          <w:spacing w:val="-8"/>
        </w:rPr>
        <w:t> </w:t>
      </w:r>
      <w:r>
        <w:rPr>
          <w:color w:val="1F4E79"/>
        </w:rPr>
        <w:t>propio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6"/>
        </w:rPr>
        <w:t> </w:t>
      </w:r>
      <w:r>
        <w:rPr>
          <w:color w:val="1F4E79"/>
        </w:rPr>
        <w:t>comunidad lingüística, fomentando a su vez esta práctica en el ámbito privado.</w:t>
      </w:r>
    </w:p>
    <w:p>
      <w:pPr>
        <w:pStyle w:val="BodyText"/>
        <w:spacing w:before="1"/>
      </w:pPr>
    </w:p>
    <w:p>
      <w:pPr>
        <w:pStyle w:val="BodyText"/>
        <w:ind w:left="1342" w:right="254"/>
        <w:jc w:val="both"/>
      </w:pPr>
      <w:r>
        <w:rPr>
          <w:color w:val="1F4E79"/>
        </w:rPr>
        <w:t>Por</w:t>
      </w:r>
      <w:r>
        <w:rPr>
          <w:color w:val="1F4E79"/>
          <w:spacing w:val="-11"/>
        </w:rPr>
        <w:t> </w:t>
      </w:r>
      <w:r>
        <w:rPr>
          <w:color w:val="1F4E79"/>
        </w:rPr>
        <w:t>otra</w:t>
      </w:r>
      <w:r>
        <w:rPr>
          <w:color w:val="1F4E79"/>
          <w:spacing w:val="-12"/>
        </w:rPr>
        <w:t> </w:t>
      </w:r>
      <w:r>
        <w:rPr>
          <w:color w:val="1F4E79"/>
        </w:rPr>
        <w:t>parte,</w:t>
      </w:r>
      <w:r>
        <w:rPr>
          <w:color w:val="1F4E79"/>
          <w:spacing w:val="-12"/>
        </w:rPr>
        <w:t> </w:t>
      </w:r>
      <w:r>
        <w:rPr>
          <w:color w:val="1F4E79"/>
        </w:rPr>
        <w:t>el</w:t>
      </w:r>
      <w:r>
        <w:rPr>
          <w:color w:val="1F4E79"/>
          <w:spacing w:val="-13"/>
        </w:rPr>
        <w:t> </w:t>
      </w:r>
      <w:r>
        <w:rPr>
          <w:color w:val="1F4E79"/>
        </w:rPr>
        <w:t>artículo</w:t>
      </w:r>
      <w:r>
        <w:rPr>
          <w:color w:val="1F4E79"/>
          <w:spacing w:val="-10"/>
        </w:rPr>
        <w:t> </w:t>
      </w:r>
      <w:r>
        <w:rPr>
          <w:color w:val="1F4E79"/>
        </w:rPr>
        <w:t>10,</w:t>
      </w:r>
      <w:r>
        <w:rPr>
          <w:color w:val="1F4E79"/>
          <w:spacing w:val="-12"/>
        </w:rPr>
        <w:t> </w:t>
      </w:r>
      <w:r>
        <w:rPr>
          <w:color w:val="1F4E79"/>
        </w:rPr>
        <w:t>numeral</w:t>
      </w:r>
      <w:r>
        <w:rPr>
          <w:color w:val="1F4E79"/>
          <w:spacing w:val="-13"/>
        </w:rPr>
        <w:t> </w:t>
      </w:r>
      <w:r>
        <w:rPr>
          <w:color w:val="1F4E79"/>
        </w:rPr>
        <w:t>28</w:t>
      </w:r>
      <w:r>
        <w:rPr>
          <w:color w:val="1F4E79"/>
          <w:spacing w:val="-8"/>
        </w:rPr>
        <w:t> </w:t>
      </w:r>
      <w:r>
        <w:rPr>
          <w:color w:val="1F4E79"/>
        </w:rPr>
        <w:t>del</w:t>
      </w:r>
      <w:r>
        <w:rPr>
          <w:color w:val="1F4E79"/>
          <w:spacing w:val="-13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</w:t>
      </w:r>
      <w:r>
        <w:rPr>
          <w:color w:val="1F4E79"/>
          <w:spacing w:val="-11"/>
        </w:rPr>
        <w:t> </w:t>
      </w:r>
      <w:r>
        <w:rPr>
          <w:color w:val="1F4E79"/>
        </w:rPr>
        <w:t>57-2008</w:t>
      </w:r>
      <w:r>
        <w:rPr>
          <w:color w:val="1F4E79"/>
          <w:spacing w:val="-9"/>
        </w:rPr>
        <w:t> </w:t>
      </w:r>
      <w:r>
        <w:rPr>
          <w:color w:val="1F4E79"/>
        </w:rPr>
        <w:t>del Congreso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República</w:t>
      </w:r>
      <w:r>
        <w:rPr>
          <w:color w:val="1F4E79"/>
          <w:spacing w:val="-7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Guatemala,</w:t>
      </w:r>
      <w:r>
        <w:rPr>
          <w:color w:val="1F4E79"/>
          <w:spacing w:val="-10"/>
        </w:rPr>
        <w:t> </w:t>
      </w:r>
      <w:r>
        <w:rPr>
          <w:color w:val="1F4E79"/>
        </w:rPr>
        <w:t>Ley</w:t>
      </w:r>
      <w:r>
        <w:rPr>
          <w:color w:val="1F4E79"/>
          <w:spacing w:val="-13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Acceso</w:t>
      </w:r>
      <w:r>
        <w:rPr>
          <w:color w:val="1F4E79"/>
          <w:spacing w:val="-9"/>
        </w:rPr>
        <w:t> </w:t>
      </w:r>
      <w:r>
        <w:rPr>
          <w:color w:val="1F4E79"/>
        </w:rPr>
        <w:t>a</w:t>
      </w:r>
      <w:r>
        <w:rPr>
          <w:color w:val="1F4E79"/>
          <w:spacing w:val="-9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Información Pública, establece que, los sujetos obligados deben mantener informe actualizado sobre los datos relacionados con la pertenencia sociolingüística de los usuarios de sus servicios, a efecto de adecuar la prestación de los mismos.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4" w:after="0"/>
        <w:ind w:left="1339" w:right="0" w:hanging="358"/>
        <w:jc w:val="left"/>
      </w:pPr>
      <w:bookmarkStart w:name="_TOC_250000" w:id="3"/>
      <w:bookmarkEnd w:id="3"/>
      <w:r>
        <w:rPr>
          <w:color w:val="F4AF83"/>
          <w:spacing w:val="-2"/>
        </w:rPr>
        <w:t>Objetivos</w:t>
      </w:r>
    </w:p>
    <w:p>
      <w:pPr>
        <w:pStyle w:val="BodyText"/>
        <w:spacing w:before="186"/>
        <w:ind w:left="1342" w:right="255"/>
        <w:jc w:val="both"/>
      </w:pPr>
      <w:r>
        <w:rPr>
          <w:color w:val="1F4E79"/>
        </w:rPr>
        <w:t>Brindar la información correspondiente a la pertenencia sociolingüística, específicamente en determinar el idioma en que se prestan los servicios de atención al público en la Secretaría Privada de la Presidencia, en cumplimiento al Decreto Número 57-2008 del Congreso de la República de</w:t>
      </w:r>
      <w:r>
        <w:rPr>
          <w:color w:val="1F4E79"/>
          <w:spacing w:val="-13"/>
        </w:rPr>
        <w:t> </w:t>
      </w:r>
      <w:r>
        <w:rPr>
          <w:color w:val="1F4E79"/>
        </w:rPr>
        <w:t>Guatemala,</w:t>
      </w:r>
      <w:r>
        <w:rPr>
          <w:color w:val="1F4E79"/>
          <w:spacing w:val="-13"/>
        </w:rPr>
        <w:t> </w:t>
      </w:r>
      <w:r>
        <w:rPr>
          <w:color w:val="1F4E79"/>
        </w:rPr>
        <w:t>Ley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5"/>
        </w:rPr>
        <w:t> </w:t>
      </w:r>
      <w:r>
        <w:rPr>
          <w:color w:val="1F4E79"/>
        </w:rPr>
        <w:t>Acceso</w:t>
      </w:r>
      <w:r>
        <w:rPr>
          <w:color w:val="1F4E79"/>
          <w:spacing w:val="-13"/>
        </w:rPr>
        <w:t> </w:t>
      </w:r>
      <w:r>
        <w:rPr>
          <w:color w:val="1F4E79"/>
        </w:rPr>
        <w:t>a</w:t>
      </w:r>
      <w:r>
        <w:rPr>
          <w:color w:val="1F4E79"/>
          <w:spacing w:val="-13"/>
        </w:rPr>
        <w:t> </w:t>
      </w:r>
      <w:r>
        <w:rPr>
          <w:color w:val="1F4E79"/>
        </w:rPr>
        <w:t>la</w:t>
      </w:r>
      <w:r>
        <w:rPr>
          <w:color w:val="1F4E79"/>
          <w:spacing w:val="-13"/>
        </w:rPr>
        <w:t> </w:t>
      </w:r>
      <w:r>
        <w:rPr>
          <w:color w:val="1F4E79"/>
        </w:rPr>
        <w:t>Información</w:t>
      </w:r>
      <w:r>
        <w:rPr>
          <w:color w:val="1F4E79"/>
          <w:spacing w:val="-13"/>
        </w:rPr>
        <w:t> </w:t>
      </w:r>
      <w:r>
        <w:rPr>
          <w:color w:val="1F4E79"/>
        </w:rPr>
        <w:t>Pública</w:t>
      </w:r>
      <w:r>
        <w:rPr>
          <w:color w:val="1F4E79"/>
          <w:spacing w:val="-6"/>
        </w:rPr>
        <w:t> </w:t>
      </w:r>
      <w:r>
        <w:rPr>
          <w:color w:val="1F4E79"/>
        </w:rPr>
        <w:t>y</w:t>
      </w:r>
      <w:r>
        <w:rPr>
          <w:color w:val="1F4E79"/>
          <w:spacing w:val="-14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 19-2003 del Congreso de la República de Guatemala, Ley de Idiomas </w:t>
      </w:r>
      <w:r>
        <w:rPr>
          <w:color w:val="1F4E79"/>
          <w:spacing w:val="-2"/>
        </w:rPr>
        <w:t>Nacionales.</w:t>
      </w:r>
    </w:p>
    <w:p>
      <w:pPr>
        <w:pStyle w:val="BodyText"/>
        <w:spacing w:after="0"/>
        <w:jc w:val="both"/>
        <w:sectPr>
          <w:headerReference w:type="default" r:id="rId7"/>
          <w:footerReference w:type="default" r:id="rId8"/>
          <w:pgSz w:w="12240" w:h="15840"/>
          <w:pgMar w:header="269" w:footer="910" w:top="1880" w:bottom="1100" w:left="1440" w:right="1440"/>
          <w:pgNumType w:start="1"/>
        </w:sectPr>
      </w:pPr>
    </w:p>
    <w:p>
      <w:pPr>
        <w:pStyle w:val="BodyText"/>
        <w:spacing w:before="165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340" w:val="left" w:leader="none"/>
          <w:tab w:pos="1342" w:val="left" w:leader="none"/>
        </w:tabs>
        <w:spacing w:line="240" w:lineRule="auto" w:before="0" w:after="0"/>
        <w:ind w:left="1342" w:right="1141" w:hanging="360"/>
        <w:jc w:val="left"/>
      </w:pPr>
      <w:r>
        <w:rPr>
          <w:color w:val="F4AF83"/>
        </w:rPr>
        <w:t>Informe</w:t>
      </w:r>
      <w:r>
        <w:rPr>
          <w:color w:val="F4AF83"/>
          <w:spacing w:val="-8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atención</w:t>
      </w:r>
      <w:r>
        <w:rPr>
          <w:color w:val="F4AF83"/>
          <w:spacing w:val="-6"/>
        </w:rPr>
        <w:t> </w:t>
      </w:r>
      <w:r>
        <w:rPr>
          <w:color w:val="F4AF83"/>
        </w:rPr>
        <w:t>al</w:t>
      </w:r>
      <w:r>
        <w:rPr>
          <w:color w:val="F4AF83"/>
          <w:spacing w:val="-6"/>
        </w:rPr>
        <w:t> </w:t>
      </w:r>
      <w:r>
        <w:rPr>
          <w:color w:val="F4AF83"/>
        </w:rPr>
        <w:t>público,</w:t>
      </w:r>
      <w:r>
        <w:rPr>
          <w:color w:val="F4AF83"/>
          <w:spacing w:val="-6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conformidad</w:t>
      </w:r>
      <w:r>
        <w:rPr>
          <w:color w:val="F4AF83"/>
          <w:spacing w:val="-7"/>
        </w:rPr>
        <w:t> </w:t>
      </w:r>
      <w:r>
        <w:rPr>
          <w:color w:val="F4AF83"/>
        </w:rPr>
        <w:t>con la pertenencia sociolingüística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</w:pPr>
      <w:r>
        <w:rPr>
          <w:color w:val="1F4E79"/>
        </w:rPr>
        <w:t>Cuadro</w:t>
      </w:r>
      <w:r>
        <w:rPr>
          <w:color w:val="1F4E79"/>
          <w:spacing w:val="-6"/>
        </w:rPr>
        <w:t> </w:t>
      </w:r>
      <w:r>
        <w:rPr>
          <w:color w:val="1F4E79"/>
        </w:rPr>
        <w:t>No.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1</w:t>
      </w:r>
    </w:p>
    <w:p>
      <w:pPr>
        <w:pStyle w:val="BodyText"/>
        <w:spacing w:line="480" w:lineRule="auto" w:before="277"/>
        <w:ind w:left="445" w:right="451"/>
        <w:jc w:val="center"/>
      </w:pPr>
      <w:r>
        <w:rPr>
          <w:color w:val="1F4E79"/>
        </w:rPr>
        <w:t>Atención</w:t>
      </w:r>
      <w:r>
        <w:rPr>
          <w:color w:val="1F4E79"/>
          <w:spacing w:val="-3"/>
        </w:rPr>
        <w:t> </w:t>
      </w:r>
      <w:r>
        <w:rPr>
          <w:color w:val="1F4E79"/>
        </w:rPr>
        <w:t>al</w:t>
      </w:r>
      <w:r>
        <w:rPr>
          <w:color w:val="1F4E79"/>
          <w:spacing w:val="-6"/>
        </w:rPr>
        <w:t> </w:t>
      </w:r>
      <w:r>
        <w:rPr>
          <w:color w:val="1F4E79"/>
        </w:rPr>
        <w:t>usuario</w:t>
      </w:r>
      <w:r>
        <w:rPr>
          <w:color w:val="1F4E79"/>
          <w:spacing w:val="-3"/>
        </w:rPr>
        <w:t> </w:t>
      </w:r>
      <w:r>
        <w:rPr>
          <w:color w:val="1F4E79"/>
        </w:rPr>
        <w:t>a</w:t>
      </w:r>
      <w:r>
        <w:rPr>
          <w:color w:val="1F4E79"/>
          <w:spacing w:val="-2"/>
        </w:rPr>
        <w:t> </w:t>
      </w:r>
      <w:r>
        <w:rPr>
          <w:color w:val="1F4E79"/>
        </w:rPr>
        <w:t>través</w:t>
      </w:r>
      <w:r>
        <w:rPr>
          <w:color w:val="1F4E79"/>
          <w:spacing w:val="-3"/>
        </w:rPr>
        <w:t> </w:t>
      </w:r>
      <w:r>
        <w:rPr>
          <w:color w:val="1F4E79"/>
        </w:rPr>
        <w:t>de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Unidad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Acceso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Información</w:t>
      </w:r>
      <w:r>
        <w:rPr>
          <w:color w:val="1F4E79"/>
          <w:spacing w:val="-3"/>
        </w:rPr>
        <w:t> </w:t>
      </w:r>
      <w:r>
        <w:rPr>
          <w:color w:val="1F4E79"/>
        </w:rPr>
        <w:t>Pública Del 01 al 28 de febrero de 2026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599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69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SOLICITUDES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PÚBLICA</w:t>
            </w:r>
          </w:p>
        </w:tc>
      </w:tr>
      <w:tr>
        <w:trPr>
          <w:trHeight w:val="390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81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Pública</w:t>
            </w:r>
          </w:p>
        </w:tc>
      </w:tr>
      <w:tr>
        <w:trPr>
          <w:trHeight w:val="345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4"/>
                <w:sz w:val="20"/>
              </w:rPr>
              <w:t> 2025</w:t>
            </w:r>
          </w:p>
        </w:tc>
      </w:tr>
      <w:tr>
        <w:trPr>
          <w:trHeight w:val="330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82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5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14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172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2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D0CECE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59" w:hRule="atLeast"/>
        </w:trPr>
        <w:tc>
          <w:tcPr>
            <w:tcW w:w="1678" w:type="dxa"/>
          </w:tcPr>
          <w:p>
            <w:pPr>
              <w:pStyle w:val="TableParagraph"/>
              <w:spacing w:before="64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  <w:tc>
          <w:tcPr>
            <w:tcW w:w="1259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1</w:t>
            </w:r>
          </w:p>
        </w:tc>
        <w:tc>
          <w:tcPr>
            <w:tcW w:w="997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151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1151" w:type="dxa"/>
          </w:tcPr>
          <w:p>
            <w:pPr>
              <w:pStyle w:val="TableParagraph"/>
              <w:spacing w:before="64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0"/>
        <w:gridCol w:w="1260"/>
        <w:gridCol w:w="998"/>
        <w:gridCol w:w="1061"/>
      </w:tblGrid>
      <w:tr>
        <w:trPr>
          <w:trHeight w:val="373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1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0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8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8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1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8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8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22. </w:t>
            </w:r>
            <w:r>
              <w:rPr>
                <w:b/>
                <w:spacing w:val="-2"/>
                <w:sz w:val="16"/>
              </w:rPr>
              <w:t>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5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79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269" w:footer="910" w:top="1880" w:bottom="1100" w:left="1440" w:right="1440"/>
        </w:sectPr>
      </w:pPr>
    </w:p>
    <w:p>
      <w:pPr>
        <w:pStyle w:val="BodyText"/>
        <w:rPr>
          <w:sz w:val="28"/>
        </w:rPr>
      </w:pPr>
    </w:p>
    <w:p>
      <w:pPr>
        <w:pStyle w:val="BodyText"/>
        <w:spacing w:before="258"/>
        <w:rPr>
          <w:sz w:val="28"/>
        </w:rPr>
      </w:pPr>
    </w:p>
    <w:p>
      <w:pPr>
        <w:pStyle w:val="Heading3"/>
        <w:ind w:right="1"/>
      </w:pPr>
      <w:r>
        <w:rPr>
          <w:color w:val="1F4E79"/>
        </w:rPr>
        <w:t>Cuadro</w:t>
      </w:r>
      <w:r>
        <w:rPr>
          <w:color w:val="1F4E79"/>
          <w:spacing w:val="-3"/>
        </w:rPr>
        <w:t> </w:t>
      </w:r>
      <w:r>
        <w:rPr>
          <w:color w:val="1F4E79"/>
        </w:rPr>
        <w:t>#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2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480" w:lineRule="auto"/>
        <w:ind w:left="1824" w:right="1827"/>
        <w:jc w:val="center"/>
      </w:pPr>
      <w:r>
        <w:rPr>
          <w:color w:val="1F4E79"/>
        </w:rPr>
        <w:t>Atención</w:t>
      </w:r>
      <w:r>
        <w:rPr>
          <w:color w:val="1F4E79"/>
          <w:spacing w:val="-5"/>
        </w:rPr>
        <w:t> </w:t>
      </w:r>
      <w:r>
        <w:rPr>
          <w:color w:val="1F4E79"/>
        </w:rPr>
        <w:t>al</w:t>
      </w:r>
      <w:r>
        <w:rPr>
          <w:color w:val="1F4E79"/>
          <w:spacing w:val="-8"/>
        </w:rPr>
        <w:t> </w:t>
      </w:r>
      <w:r>
        <w:rPr>
          <w:color w:val="1F4E79"/>
        </w:rPr>
        <w:t>usuario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través</w:t>
      </w:r>
      <w:r>
        <w:rPr>
          <w:color w:val="1F4E79"/>
          <w:spacing w:val="-5"/>
        </w:rPr>
        <w:t> </w:t>
      </w:r>
      <w:r>
        <w:rPr>
          <w:color w:val="1F4E79"/>
        </w:rPr>
        <w:t>del</w:t>
      </w:r>
      <w:r>
        <w:rPr>
          <w:color w:val="1F4E79"/>
          <w:spacing w:val="-5"/>
        </w:rPr>
        <w:t> </w:t>
      </w:r>
      <w:r>
        <w:rPr>
          <w:color w:val="1F4E79"/>
        </w:rPr>
        <w:t>área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5"/>
        </w:rPr>
        <w:t> </w:t>
      </w:r>
      <w:r>
        <w:rPr>
          <w:color w:val="1F4E79"/>
        </w:rPr>
        <w:t>Recepción Del 01 al 28 de febrero de 2026</w:t>
      </w:r>
    </w:p>
    <w:p>
      <w:pPr>
        <w:pStyle w:val="BodyText"/>
        <w:spacing w:before="136" w:after="1"/>
        <w:rPr>
          <w:sz w:val="20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602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72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AREA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RECEPCIÓN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DOCUMENTOS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Recepción,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Dirección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Administrativa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2025</w:t>
            </w:r>
          </w:p>
        </w:tc>
      </w:tr>
      <w:tr>
        <w:trPr>
          <w:trHeight w:val="299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98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33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77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206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1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C8C8C8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45" w:hRule="atLeast"/>
        </w:trPr>
        <w:tc>
          <w:tcPr>
            <w:tcW w:w="1678" w:type="dxa"/>
          </w:tcPr>
          <w:p>
            <w:pPr>
              <w:pStyle w:val="TableParagraph"/>
              <w:spacing w:before="57"/>
              <w:ind w:left="7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339</w:t>
            </w:r>
          </w:p>
        </w:tc>
        <w:tc>
          <w:tcPr>
            <w:tcW w:w="1259" w:type="dxa"/>
          </w:tcPr>
          <w:p>
            <w:pPr>
              <w:pStyle w:val="TableParagraph"/>
              <w:spacing w:before="57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27</w:t>
            </w:r>
          </w:p>
        </w:tc>
        <w:tc>
          <w:tcPr>
            <w:tcW w:w="997" w:type="dxa"/>
          </w:tcPr>
          <w:p>
            <w:pPr>
              <w:pStyle w:val="TableParagraph"/>
              <w:spacing w:before="57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57"/>
              <w:ind w:left="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312</w:t>
            </w:r>
          </w:p>
        </w:tc>
        <w:tc>
          <w:tcPr>
            <w:tcW w:w="1151" w:type="dxa"/>
          </w:tcPr>
          <w:p>
            <w:pPr>
              <w:pStyle w:val="TableParagraph"/>
              <w:spacing w:before="57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1"/>
        <w:gridCol w:w="1261"/>
        <w:gridCol w:w="999"/>
        <w:gridCol w:w="1062"/>
      </w:tblGrid>
      <w:tr>
        <w:trPr>
          <w:trHeight w:val="374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3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4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9" w:type="dxa"/>
            <w:shd w:val="clear" w:color="auto" w:fill="E1EEDA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2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9" w:type="dxa"/>
            <w:shd w:val="clear" w:color="auto" w:fill="FFF1CC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2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9" w:type="dxa"/>
            <w:shd w:val="clear" w:color="auto" w:fill="D9E0F1"/>
          </w:tcPr>
          <w:p>
            <w:pPr>
              <w:pStyle w:val="TableParagraph"/>
              <w:spacing w:line="178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2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2"/>
                <w:sz w:val="16"/>
              </w:rPr>
              <w:t> 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83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sectPr>
      <w:pgSz w:w="12240" w:h="15840"/>
      <w:pgMar w:header="269" w:footer="910" w:top="1880" w:bottom="110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088">
              <wp:simplePos x="0" y="0"/>
              <wp:positionH relativeFrom="page">
                <wp:posOffset>6584950</wp:posOffset>
              </wp:positionH>
              <wp:positionV relativeFrom="page">
                <wp:posOffset>9341097</wp:posOffset>
              </wp:positionV>
              <wp:extent cx="159385" cy="1670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5pt;margin-top:735.51947pt;width:12.55pt;height:13.15pt;mso-position-horizontal-relative:page;mso-position-vertical-relative:page;z-index:-159313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064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576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42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F4AF83"/>
        <w:spacing w:val="-1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8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sz w:val="24"/>
      <w:szCs w:val="24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" w:right="3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339" w:hanging="358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"/>
      <w:jc w:val="center"/>
      <w:outlineLvl w:val="3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4"/>
      <w:ind w:left="69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dcterms:created xsi:type="dcterms:W3CDTF">2026-08-26T23:05:53Z</dcterms:created>
  <dcterms:modified xsi:type="dcterms:W3CDTF">2026-08-26T23:05:53Z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para Microsoft 365</vt:lpwstr>
  </property>
</Properties>
</file>